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3A1D" w14:textId="19AE1235" w:rsidR="00182802" w:rsidRPr="00BF3291" w:rsidRDefault="00182802" w:rsidP="00182802">
      <w:pPr>
        <w:jc w:val="center"/>
        <w:rPr>
          <w:rFonts w:cs="Arial"/>
          <w:b/>
          <w:color w:val="000000"/>
        </w:rPr>
      </w:pPr>
      <w:r w:rsidRPr="00BF3291">
        <w:rPr>
          <w:rFonts w:cs="Arial"/>
          <w:b/>
          <w:color w:val="000000"/>
        </w:rPr>
        <w:t xml:space="preserve">APPENDIX </w:t>
      </w:r>
      <w:r w:rsidR="00776039">
        <w:rPr>
          <w:rFonts w:cs="Arial"/>
          <w:b/>
          <w:color w:val="000000"/>
        </w:rPr>
        <w:t>C</w:t>
      </w:r>
    </w:p>
    <w:p w14:paraId="661520EE" w14:textId="77777777" w:rsidR="00182802" w:rsidRDefault="00182802" w:rsidP="00182802">
      <w:pPr>
        <w:jc w:val="center"/>
        <w:rPr>
          <w:rFonts w:cs="Arial"/>
          <w:b/>
          <w:color w:val="000000"/>
        </w:rPr>
      </w:pPr>
    </w:p>
    <w:p w14:paraId="539D45B8" w14:textId="77777777" w:rsidR="00182802" w:rsidRDefault="00182802" w:rsidP="00182802">
      <w:pPr>
        <w:jc w:val="center"/>
        <w:rPr>
          <w:rFonts w:cs="Arial"/>
          <w:color w:val="000000"/>
        </w:rPr>
      </w:pPr>
      <w:r>
        <w:rPr>
          <w:rFonts w:cs="Arial"/>
          <w:color w:val="000000"/>
        </w:rPr>
        <w:t>UNDERWRITING STANDARDS</w:t>
      </w:r>
    </w:p>
    <w:p w14:paraId="538875F7" w14:textId="77777777" w:rsidR="00182802" w:rsidRPr="00BF3291" w:rsidRDefault="00182802" w:rsidP="00182802">
      <w:pPr>
        <w:jc w:val="center"/>
        <w:rPr>
          <w:rFonts w:cs="Arial"/>
          <w:color w:val="000000"/>
        </w:rPr>
      </w:pPr>
      <w:r>
        <w:rPr>
          <w:rFonts w:cs="Arial"/>
          <w:color w:val="000000"/>
        </w:rPr>
        <w:t>RENTAL</w:t>
      </w:r>
      <w:r w:rsidRPr="00BF3291">
        <w:rPr>
          <w:rFonts w:cs="Arial"/>
          <w:color w:val="000000"/>
        </w:rPr>
        <w:t xml:space="preserve"> </w:t>
      </w:r>
      <w:r>
        <w:rPr>
          <w:rFonts w:cs="Arial"/>
          <w:color w:val="000000"/>
        </w:rPr>
        <w:t>WITHOUT TAX CREDITS</w:t>
      </w:r>
    </w:p>
    <w:p w14:paraId="35226191" w14:textId="77777777" w:rsidR="00182802" w:rsidRDefault="00182802" w:rsidP="00182802">
      <w:pPr>
        <w:rPr>
          <w:rFonts w:cs="Arial"/>
          <w:color w:val="000000"/>
        </w:rPr>
      </w:pPr>
    </w:p>
    <w:p w14:paraId="0305D38B" w14:textId="77777777" w:rsidR="00182802" w:rsidRPr="00BF3291" w:rsidRDefault="00182802" w:rsidP="00182802">
      <w:pPr>
        <w:rPr>
          <w:rFonts w:cs="Arial"/>
          <w:color w:val="000000"/>
        </w:rPr>
      </w:pPr>
    </w:p>
    <w:p w14:paraId="11912323" w14:textId="77777777" w:rsidR="00182802" w:rsidRPr="00BF3291" w:rsidRDefault="00182802" w:rsidP="00182802">
      <w:pPr>
        <w:jc w:val="both"/>
        <w:rPr>
          <w:rFonts w:cs="Arial"/>
          <w:color w:val="000000"/>
        </w:rPr>
      </w:pPr>
      <w:r w:rsidRPr="00BF3291">
        <w:rPr>
          <w:rFonts w:cs="Arial"/>
          <w:color w:val="000000"/>
        </w:rPr>
        <w:t xml:space="preserve">The </w:t>
      </w:r>
      <w:r>
        <w:rPr>
          <w:rFonts w:cs="Arial"/>
          <w:color w:val="000000"/>
        </w:rPr>
        <w:t>a</w:t>
      </w:r>
      <w:r w:rsidRPr="00BF3291">
        <w:rPr>
          <w:rFonts w:cs="Arial"/>
          <w:color w:val="000000"/>
        </w:rPr>
        <w:t xml:space="preserve">pplication will require the </w:t>
      </w:r>
      <w:r>
        <w:rPr>
          <w:rFonts w:cs="Arial"/>
          <w:color w:val="000000"/>
        </w:rPr>
        <w:t>a</w:t>
      </w:r>
      <w:r w:rsidRPr="00BF3291">
        <w:rPr>
          <w:rFonts w:cs="Arial"/>
          <w:color w:val="000000"/>
        </w:rPr>
        <w:t xml:space="preserve">pplicant to demonstrate that the </w:t>
      </w:r>
      <w:r>
        <w:rPr>
          <w:rFonts w:cs="Arial"/>
          <w:color w:val="000000"/>
        </w:rPr>
        <w:t>p</w:t>
      </w:r>
      <w:r w:rsidRPr="00BF3291">
        <w:rPr>
          <w:rFonts w:cs="Arial"/>
          <w:color w:val="000000"/>
        </w:rPr>
        <w:t xml:space="preserve">roject is financially feasible and viable using the least amount of HOME funds.  Underwriting will be completed by IFA during the review of the </w:t>
      </w:r>
      <w:r>
        <w:rPr>
          <w:rFonts w:cs="Arial"/>
          <w:color w:val="000000"/>
        </w:rPr>
        <w:t>a</w:t>
      </w:r>
      <w:r w:rsidRPr="00BF3291">
        <w:rPr>
          <w:rFonts w:cs="Arial"/>
          <w:color w:val="000000"/>
        </w:rPr>
        <w:t xml:space="preserve">pplication.  IFA may adjust the amount of HOME award based upon the underwriting.  Underwriting shall be completed for a </w:t>
      </w:r>
      <w:r>
        <w:rPr>
          <w:rFonts w:cs="Arial"/>
          <w:color w:val="000000"/>
        </w:rPr>
        <w:t>p</w:t>
      </w:r>
      <w:r w:rsidRPr="00BF3291">
        <w:rPr>
          <w:rFonts w:cs="Arial"/>
          <w:color w:val="000000"/>
        </w:rPr>
        <w:t xml:space="preserve">roject prior to the time HOME funds are awarded, and prior to close out of the project.  The pro forma is part of the </w:t>
      </w:r>
      <w:r>
        <w:rPr>
          <w:rFonts w:cs="Arial"/>
          <w:color w:val="000000"/>
        </w:rPr>
        <w:t>a</w:t>
      </w:r>
      <w:r w:rsidRPr="00BF3291">
        <w:rPr>
          <w:rFonts w:cs="Arial"/>
          <w:color w:val="000000"/>
        </w:rPr>
        <w:t>pplication.</w:t>
      </w:r>
    </w:p>
    <w:p w14:paraId="07FDAC92" w14:textId="77777777" w:rsidR="00182802" w:rsidRPr="00BF3291" w:rsidRDefault="00182802" w:rsidP="00182802">
      <w:pPr>
        <w:jc w:val="both"/>
        <w:rPr>
          <w:rFonts w:cs="Arial"/>
          <w:color w:val="000000"/>
        </w:rPr>
      </w:pPr>
    </w:p>
    <w:p w14:paraId="29D1FFA8" w14:textId="77777777" w:rsidR="00182802" w:rsidRPr="00BF3291" w:rsidRDefault="00182802" w:rsidP="00182802">
      <w:pPr>
        <w:jc w:val="both"/>
        <w:rPr>
          <w:rFonts w:cs="Arial"/>
          <w:color w:val="000000"/>
        </w:rPr>
      </w:pPr>
      <w:r w:rsidRPr="00BF3291">
        <w:rPr>
          <w:rFonts w:cs="Arial"/>
          <w:color w:val="000000"/>
        </w:rPr>
        <w:t xml:space="preserve">The </w:t>
      </w:r>
      <w:r>
        <w:rPr>
          <w:rFonts w:cs="Arial"/>
          <w:color w:val="000000"/>
        </w:rPr>
        <w:t>a</w:t>
      </w:r>
      <w:r w:rsidRPr="00BF3291">
        <w:rPr>
          <w:rFonts w:cs="Arial"/>
          <w:color w:val="000000"/>
        </w:rPr>
        <w:t xml:space="preserve">pplication will require the </w:t>
      </w:r>
      <w:r>
        <w:rPr>
          <w:rFonts w:cs="Arial"/>
          <w:color w:val="000000"/>
        </w:rPr>
        <w:t>a</w:t>
      </w:r>
      <w:r w:rsidRPr="00BF3291">
        <w:rPr>
          <w:rFonts w:cs="Arial"/>
          <w:color w:val="000000"/>
        </w:rPr>
        <w:t xml:space="preserve">pplicant to supply sufficient information to allow IFA to determine whether the </w:t>
      </w:r>
      <w:r>
        <w:rPr>
          <w:rFonts w:cs="Arial"/>
          <w:color w:val="000000"/>
        </w:rPr>
        <w:t>p</w:t>
      </w:r>
      <w:r w:rsidRPr="00BF3291">
        <w:rPr>
          <w:rFonts w:cs="Arial"/>
          <w:color w:val="000000"/>
        </w:rPr>
        <w:t xml:space="preserve">roject is financially feasible during the construction phase and the operational phase of the </w:t>
      </w:r>
      <w:r>
        <w:rPr>
          <w:rFonts w:cs="Arial"/>
          <w:color w:val="000000"/>
        </w:rPr>
        <w:t>p</w:t>
      </w:r>
      <w:r w:rsidRPr="00BF3291">
        <w:rPr>
          <w:rFonts w:cs="Arial"/>
          <w:color w:val="000000"/>
        </w:rPr>
        <w:t xml:space="preserve">roject.  The </w:t>
      </w:r>
      <w:r>
        <w:rPr>
          <w:rFonts w:cs="Arial"/>
          <w:color w:val="000000"/>
        </w:rPr>
        <w:t>a</w:t>
      </w:r>
      <w:r w:rsidRPr="00BF3291">
        <w:rPr>
          <w:rFonts w:cs="Arial"/>
          <w:color w:val="000000"/>
        </w:rPr>
        <w:t xml:space="preserve">pplication will require the </w:t>
      </w:r>
      <w:r>
        <w:rPr>
          <w:rFonts w:cs="Arial"/>
          <w:color w:val="000000"/>
        </w:rPr>
        <w:t>a</w:t>
      </w:r>
      <w:r w:rsidRPr="00BF3291">
        <w:rPr>
          <w:rFonts w:cs="Arial"/>
          <w:color w:val="000000"/>
        </w:rPr>
        <w:t xml:space="preserve">pplicant to provide information regarding loans, grants, equity contributions, property tax abatements, tax increment financing, enterprise zone benefits and any other type of financing or contributions that are relevant to the economic feasibility of the </w:t>
      </w:r>
      <w:r>
        <w:rPr>
          <w:rFonts w:cs="Arial"/>
          <w:color w:val="000000"/>
        </w:rPr>
        <w:t>p</w:t>
      </w:r>
      <w:r w:rsidRPr="00BF3291">
        <w:rPr>
          <w:rFonts w:cs="Arial"/>
          <w:color w:val="000000"/>
        </w:rPr>
        <w:t xml:space="preserve">roject and are available to the </w:t>
      </w:r>
      <w:r>
        <w:rPr>
          <w:rFonts w:cs="Arial"/>
          <w:color w:val="000000"/>
        </w:rPr>
        <w:t>p</w:t>
      </w:r>
      <w:r w:rsidRPr="00BF3291">
        <w:rPr>
          <w:rFonts w:cs="Arial"/>
          <w:color w:val="000000"/>
        </w:rPr>
        <w:t xml:space="preserve">roject.  </w:t>
      </w:r>
    </w:p>
    <w:p w14:paraId="7849A6B8" w14:textId="77777777" w:rsidR="00182802" w:rsidRPr="00BF3291" w:rsidRDefault="00182802" w:rsidP="00182802">
      <w:pPr>
        <w:jc w:val="both"/>
        <w:rPr>
          <w:rFonts w:cs="Arial"/>
          <w:color w:val="000000"/>
        </w:rPr>
      </w:pPr>
    </w:p>
    <w:p w14:paraId="3C8DE71E" w14:textId="77777777" w:rsidR="00182802" w:rsidRPr="00BF3291" w:rsidRDefault="00182802" w:rsidP="00182802">
      <w:pPr>
        <w:jc w:val="both"/>
        <w:rPr>
          <w:rFonts w:cs="Arial"/>
          <w:color w:val="000000"/>
        </w:rPr>
      </w:pPr>
      <w:r w:rsidRPr="00715A04">
        <w:rPr>
          <w:rFonts w:cs="Arial"/>
          <w:color w:val="000000"/>
        </w:rPr>
        <w:t xml:space="preserve">The following </w:t>
      </w:r>
      <w:r w:rsidRPr="00715A04">
        <w:rPr>
          <w:rFonts w:cs="Arial"/>
          <w:color w:val="000000"/>
          <w:u w:val="single"/>
        </w:rPr>
        <w:t>minimum</w:t>
      </w:r>
      <w:r w:rsidRPr="00715A04">
        <w:rPr>
          <w:rFonts w:cs="Arial"/>
          <w:color w:val="000000"/>
        </w:rPr>
        <w:t xml:space="preserve"> financial underwriting requirements apply to all HOME rental </w:t>
      </w:r>
      <w:r>
        <w:rPr>
          <w:rFonts w:cs="Arial"/>
          <w:color w:val="000000"/>
        </w:rPr>
        <w:t>without tax credit p</w:t>
      </w:r>
      <w:r w:rsidRPr="00715A04">
        <w:rPr>
          <w:rFonts w:cs="Arial"/>
          <w:color w:val="000000"/>
        </w:rPr>
        <w:t>rojects.  Projects that cannot meet the minimum requirements, as determined by IFA, will not receive HOME funds.</w:t>
      </w:r>
    </w:p>
    <w:p w14:paraId="2AE8308F" w14:textId="77777777" w:rsidR="00182802" w:rsidRPr="00715A04" w:rsidRDefault="00182802" w:rsidP="00182802">
      <w:pPr>
        <w:jc w:val="both"/>
        <w:rPr>
          <w:rFonts w:cs="Arial"/>
          <w:color w:val="000000"/>
        </w:rPr>
      </w:pPr>
    </w:p>
    <w:p w14:paraId="289B9C71" w14:textId="77777777" w:rsidR="00182802" w:rsidRDefault="00182802" w:rsidP="00182802">
      <w:pPr>
        <w:tabs>
          <w:tab w:val="left" w:pos="360"/>
          <w:tab w:val="left" w:pos="720"/>
          <w:tab w:val="left" w:pos="1440"/>
        </w:tabs>
        <w:ind w:left="360" w:hanging="360"/>
        <w:jc w:val="both"/>
        <w:rPr>
          <w:rFonts w:cs="Arial"/>
          <w:color w:val="000000"/>
        </w:rPr>
      </w:pPr>
      <w:r w:rsidRPr="00715A04">
        <w:rPr>
          <w:rFonts w:cs="Arial"/>
          <w:color w:val="000000"/>
        </w:rPr>
        <w:t>1.</w:t>
      </w:r>
      <w:r>
        <w:rPr>
          <w:rFonts w:cs="Arial"/>
          <w:color w:val="000000"/>
        </w:rPr>
        <w:tab/>
      </w:r>
      <w:r w:rsidRPr="00715A04">
        <w:rPr>
          <w:rFonts w:cs="Arial"/>
          <w:color w:val="000000"/>
          <w:u w:val="single"/>
        </w:rPr>
        <w:t>Escalation of Income &amp; Operating Expenses</w:t>
      </w:r>
      <w:r>
        <w:rPr>
          <w:rFonts w:cs="Arial"/>
          <w:color w:val="000000"/>
        </w:rPr>
        <w:t xml:space="preserve"> - </w:t>
      </w:r>
      <w:r w:rsidRPr="00715A04">
        <w:rPr>
          <w:rFonts w:cs="Arial"/>
          <w:color w:val="000000"/>
        </w:rPr>
        <w:t>Projects will be underwritten with income and operating expenses escalating, with a minimum spread of one percent (1%) required between the income and expense escalators (expenses must</w:t>
      </w:r>
      <w:r w:rsidRPr="00BF3291">
        <w:rPr>
          <w:rFonts w:cs="Arial"/>
          <w:color w:val="000000"/>
        </w:rPr>
        <w:t xml:space="preserve"> increase at least 1% more than income annually.)  For example, if income increases by 2% annually, then expenses must escalate by 3%.</w:t>
      </w:r>
    </w:p>
    <w:p w14:paraId="74CD6141" w14:textId="77777777" w:rsidR="00182802" w:rsidRDefault="00182802" w:rsidP="00182802">
      <w:pPr>
        <w:tabs>
          <w:tab w:val="left" w:pos="360"/>
          <w:tab w:val="left" w:pos="720"/>
          <w:tab w:val="left" w:pos="1440"/>
        </w:tabs>
        <w:jc w:val="both"/>
        <w:rPr>
          <w:rFonts w:cs="Arial"/>
          <w:color w:val="000000"/>
        </w:rPr>
      </w:pPr>
    </w:p>
    <w:p w14:paraId="06190263" w14:textId="77777777" w:rsidR="00182802" w:rsidRDefault="00182802" w:rsidP="00182802">
      <w:pPr>
        <w:tabs>
          <w:tab w:val="left" w:pos="360"/>
          <w:tab w:val="left" w:pos="720"/>
          <w:tab w:val="left" w:pos="1440"/>
        </w:tabs>
        <w:jc w:val="both"/>
        <w:rPr>
          <w:rFonts w:cs="Arial"/>
          <w:color w:val="000000"/>
        </w:rPr>
      </w:pPr>
      <w:r>
        <w:rPr>
          <w:rFonts w:cs="Arial"/>
          <w:color w:val="000000"/>
        </w:rPr>
        <w:t>2.</w:t>
      </w:r>
      <w:r>
        <w:rPr>
          <w:rFonts w:cs="Arial"/>
          <w:color w:val="000000"/>
        </w:rPr>
        <w:tab/>
      </w:r>
      <w:r w:rsidRPr="00715A04">
        <w:rPr>
          <w:rFonts w:cs="Arial"/>
          <w:color w:val="000000"/>
          <w:u w:val="single"/>
        </w:rPr>
        <w:t>Vacancy Rate</w:t>
      </w:r>
      <w:r>
        <w:rPr>
          <w:rFonts w:cs="Arial"/>
          <w:color w:val="000000"/>
        </w:rPr>
        <w:t xml:space="preserve"> - </w:t>
      </w:r>
      <w:r w:rsidRPr="00BF3291">
        <w:rPr>
          <w:rFonts w:cs="Arial"/>
          <w:color w:val="000000"/>
        </w:rPr>
        <w:t>Projects will be underwritten assuming the following vacancy rate:</w:t>
      </w:r>
    </w:p>
    <w:p w14:paraId="087D488A" w14:textId="77777777" w:rsidR="00182802" w:rsidRPr="00BF3291" w:rsidRDefault="00182802" w:rsidP="00182802">
      <w:pPr>
        <w:tabs>
          <w:tab w:val="left" w:pos="720"/>
          <w:tab w:val="left" w:pos="1440"/>
          <w:tab w:val="left" w:pos="2160"/>
          <w:tab w:val="left" w:pos="2880"/>
        </w:tabs>
        <w:jc w:val="both"/>
        <w:rPr>
          <w:rFonts w:cs="Arial"/>
          <w:color w:val="000000"/>
        </w:rPr>
      </w:pPr>
      <w:r>
        <w:rPr>
          <w:rFonts w:cs="Arial"/>
          <w:color w:val="000000"/>
        </w:rPr>
        <w:tab/>
      </w:r>
      <w:r>
        <w:rPr>
          <w:rFonts w:cs="Arial"/>
          <w:color w:val="000000"/>
        </w:rPr>
        <w:tab/>
      </w:r>
      <w:r>
        <w:rPr>
          <w:rFonts w:cs="Arial"/>
          <w:color w:val="000000"/>
        </w:rPr>
        <w:tab/>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20"/>
      </w:tblGrid>
      <w:tr w:rsidR="00182802" w:rsidRPr="004419C0" w14:paraId="1FB82299" w14:textId="77777777" w:rsidTr="00631D70">
        <w:tc>
          <w:tcPr>
            <w:tcW w:w="2700" w:type="dxa"/>
            <w:shd w:val="clear" w:color="auto" w:fill="auto"/>
          </w:tcPr>
          <w:p w14:paraId="49548EEE" w14:textId="77777777" w:rsidR="00182802" w:rsidRPr="004419C0" w:rsidRDefault="00182802" w:rsidP="00631D70">
            <w:pPr>
              <w:tabs>
                <w:tab w:val="left" w:pos="720"/>
                <w:tab w:val="left" w:pos="1440"/>
                <w:tab w:val="left" w:pos="2160"/>
                <w:tab w:val="left" w:pos="2880"/>
              </w:tabs>
              <w:jc w:val="both"/>
              <w:rPr>
                <w:rFonts w:cs="Arial"/>
                <w:color w:val="000000"/>
              </w:rPr>
            </w:pPr>
            <w:r w:rsidRPr="004419C0">
              <w:rPr>
                <w:rFonts w:cs="Arial"/>
                <w:color w:val="000000"/>
              </w:rPr>
              <w:t>12 or greater total units</w:t>
            </w:r>
          </w:p>
        </w:tc>
        <w:tc>
          <w:tcPr>
            <w:tcW w:w="1620" w:type="dxa"/>
            <w:shd w:val="clear" w:color="auto" w:fill="auto"/>
          </w:tcPr>
          <w:p w14:paraId="4BFC0E29" w14:textId="77777777" w:rsidR="00182802" w:rsidRPr="004419C0" w:rsidRDefault="00182802" w:rsidP="00631D70">
            <w:pPr>
              <w:tabs>
                <w:tab w:val="left" w:pos="720"/>
                <w:tab w:val="left" w:pos="1440"/>
                <w:tab w:val="left" w:pos="2160"/>
                <w:tab w:val="left" w:pos="2880"/>
              </w:tabs>
              <w:jc w:val="both"/>
              <w:rPr>
                <w:rFonts w:cs="Arial"/>
                <w:color w:val="000000"/>
              </w:rPr>
            </w:pPr>
            <w:r w:rsidRPr="004419C0">
              <w:rPr>
                <w:rFonts w:cs="Arial"/>
                <w:color w:val="000000"/>
              </w:rPr>
              <w:t>8% to 10%</w:t>
            </w:r>
          </w:p>
        </w:tc>
      </w:tr>
      <w:tr w:rsidR="00182802" w:rsidRPr="004419C0" w14:paraId="0E1278F0" w14:textId="77777777" w:rsidTr="00631D70">
        <w:tc>
          <w:tcPr>
            <w:tcW w:w="2700" w:type="dxa"/>
            <w:shd w:val="clear" w:color="auto" w:fill="auto"/>
          </w:tcPr>
          <w:p w14:paraId="76140A0A" w14:textId="77777777" w:rsidR="00182802" w:rsidRPr="004419C0" w:rsidRDefault="00182802" w:rsidP="00631D70">
            <w:pPr>
              <w:tabs>
                <w:tab w:val="left" w:pos="720"/>
                <w:tab w:val="left" w:pos="1440"/>
                <w:tab w:val="left" w:pos="2160"/>
                <w:tab w:val="left" w:pos="2880"/>
              </w:tabs>
              <w:jc w:val="both"/>
              <w:rPr>
                <w:rFonts w:cs="Arial"/>
                <w:color w:val="000000"/>
              </w:rPr>
            </w:pPr>
            <w:r w:rsidRPr="004419C0">
              <w:rPr>
                <w:rFonts w:cs="Arial"/>
                <w:color w:val="000000"/>
              </w:rPr>
              <w:t>Less than 12 total units</w:t>
            </w:r>
          </w:p>
        </w:tc>
        <w:tc>
          <w:tcPr>
            <w:tcW w:w="1620" w:type="dxa"/>
            <w:shd w:val="clear" w:color="auto" w:fill="auto"/>
          </w:tcPr>
          <w:p w14:paraId="79D22641" w14:textId="77777777" w:rsidR="00182802" w:rsidRPr="004419C0" w:rsidRDefault="00182802" w:rsidP="00631D70">
            <w:pPr>
              <w:tabs>
                <w:tab w:val="left" w:pos="720"/>
                <w:tab w:val="left" w:pos="1440"/>
                <w:tab w:val="left" w:pos="2160"/>
                <w:tab w:val="left" w:pos="2880"/>
              </w:tabs>
              <w:jc w:val="both"/>
              <w:rPr>
                <w:rFonts w:cs="Arial"/>
                <w:color w:val="000000"/>
              </w:rPr>
            </w:pPr>
            <w:r w:rsidRPr="004419C0">
              <w:rPr>
                <w:rFonts w:cs="Arial"/>
                <w:color w:val="000000"/>
              </w:rPr>
              <w:t>8% to 15%</w:t>
            </w:r>
          </w:p>
        </w:tc>
      </w:tr>
    </w:tbl>
    <w:p w14:paraId="75B64342" w14:textId="77777777" w:rsidR="00182802" w:rsidRDefault="00182802" w:rsidP="00182802">
      <w:pPr>
        <w:jc w:val="both"/>
        <w:rPr>
          <w:rFonts w:cs="Arial"/>
          <w:color w:val="000000"/>
        </w:rPr>
      </w:pPr>
    </w:p>
    <w:p w14:paraId="6C3F4465" w14:textId="77777777" w:rsidR="00182802" w:rsidRDefault="00182802" w:rsidP="00182802">
      <w:pPr>
        <w:tabs>
          <w:tab w:val="left" w:pos="360"/>
          <w:tab w:val="left" w:pos="720"/>
        </w:tabs>
        <w:ind w:left="360" w:hanging="360"/>
        <w:jc w:val="both"/>
        <w:rPr>
          <w:rFonts w:cs="Arial"/>
          <w:color w:val="000000"/>
        </w:rPr>
      </w:pPr>
      <w:r>
        <w:rPr>
          <w:rFonts w:cs="Arial"/>
          <w:color w:val="000000"/>
        </w:rPr>
        <w:t>3.</w:t>
      </w:r>
      <w:r>
        <w:rPr>
          <w:rFonts w:cs="Arial"/>
          <w:color w:val="000000"/>
        </w:rPr>
        <w:tab/>
      </w:r>
      <w:r w:rsidRPr="004306C8">
        <w:rPr>
          <w:rFonts w:cs="Arial"/>
          <w:color w:val="000000"/>
          <w:u w:val="single"/>
        </w:rPr>
        <w:t>Operating Expenses</w:t>
      </w:r>
      <w:r>
        <w:rPr>
          <w:rFonts w:cs="Arial"/>
          <w:color w:val="000000"/>
        </w:rPr>
        <w:t xml:space="preserve"> - T</w:t>
      </w:r>
      <w:r w:rsidRPr="00BF3291">
        <w:rPr>
          <w:rFonts w:cs="Arial"/>
          <w:color w:val="000000"/>
        </w:rPr>
        <w:t>he proforma must reflect minimum operating expenses of $2,</w:t>
      </w:r>
      <w:r>
        <w:rPr>
          <w:rFonts w:cs="Arial"/>
          <w:color w:val="000000"/>
        </w:rPr>
        <w:t>750</w:t>
      </w:r>
      <w:r w:rsidRPr="00BF3291">
        <w:rPr>
          <w:rFonts w:cs="Arial"/>
          <w:color w:val="000000"/>
        </w:rPr>
        <w:t xml:space="preserve"> per </w:t>
      </w:r>
      <w:r>
        <w:rPr>
          <w:rFonts w:cs="Arial"/>
          <w:color w:val="000000"/>
        </w:rPr>
        <w:t>u</w:t>
      </w:r>
      <w:r w:rsidRPr="00BF3291">
        <w:rPr>
          <w:rFonts w:cs="Arial"/>
          <w:color w:val="000000"/>
        </w:rPr>
        <w:t xml:space="preserve">nit per year, not including taxes, </w:t>
      </w:r>
      <w:proofErr w:type="gramStart"/>
      <w:r w:rsidRPr="00BF3291">
        <w:rPr>
          <w:rFonts w:cs="Arial"/>
          <w:color w:val="000000"/>
        </w:rPr>
        <w:t>reserves</w:t>
      </w:r>
      <w:proofErr w:type="gramEnd"/>
      <w:r w:rsidRPr="00BF3291">
        <w:rPr>
          <w:rFonts w:cs="Arial"/>
          <w:color w:val="000000"/>
        </w:rPr>
        <w:t xml:space="preserve"> and resident support services.</w:t>
      </w:r>
    </w:p>
    <w:p w14:paraId="522FB5A0" w14:textId="77777777" w:rsidR="00182802" w:rsidRDefault="00182802" w:rsidP="00182802">
      <w:pPr>
        <w:tabs>
          <w:tab w:val="left" w:pos="360"/>
          <w:tab w:val="left" w:pos="720"/>
        </w:tabs>
        <w:ind w:left="360" w:hanging="360"/>
        <w:jc w:val="both"/>
        <w:rPr>
          <w:rFonts w:cs="Arial"/>
          <w:color w:val="000000"/>
        </w:rPr>
      </w:pPr>
    </w:p>
    <w:p w14:paraId="0B579A5D" w14:textId="77777777" w:rsidR="00182802" w:rsidRDefault="00182802" w:rsidP="00182802">
      <w:pPr>
        <w:tabs>
          <w:tab w:val="left" w:pos="360"/>
          <w:tab w:val="left" w:pos="720"/>
        </w:tabs>
        <w:ind w:left="360" w:hanging="360"/>
        <w:jc w:val="both"/>
        <w:rPr>
          <w:rFonts w:cs="Arial"/>
          <w:color w:val="000000"/>
        </w:rPr>
      </w:pPr>
      <w:r>
        <w:rPr>
          <w:rFonts w:cs="Arial"/>
          <w:color w:val="000000"/>
        </w:rPr>
        <w:t>4.</w:t>
      </w:r>
      <w:r>
        <w:rPr>
          <w:rFonts w:cs="Arial"/>
          <w:color w:val="000000"/>
        </w:rPr>
        <w:tab/>
      </w:r>
      <w:r w:rsidRPr="00D339ED">
        <w:rPr>
          <w:rFonts w:cs="Arial"/>
          <w:color w:val="000000"/>
          <w:u w:val="single"/>
        </w:rPr>
        <w:t>Reserves</w:t>
      </w:r>
    </w:p>
    <w:p w14:paraId="3AC99017" w14:textId="77777777" w:rsidR="00182802" w:rsidRDefault="00182802" w:rsidP="00182802">
      <w:pPr>
        <w:tabs>
          <w:tab w:val="left" w:pos="360"/>
          <w:tab w:val="left" w:pos="720"/>
        </w:tabs>
        <w:ind w:left="360" w:hanging="360"/>
        <w:jc w:val="both"/>
        <w:rPr>
          <w:rFonts w:cs="Arial"/>
          <w:color w:val="000000"/>
        </w:rPr>
      </w:pPr>
    </w:p>
    <w:p w14:paraId="61A9A5EF" w14:textId="77777777" w:rsidR="00182802" w:rsidRDefault="00182802" w:rsidP="00182802">
      <w:pPr>
        <w:tabs>
          <w:tab w:val="left" w:pos="360"/>
          <w:tab w:val="left" w:pos="720"/>
          <w:tab w:val="left" w:pos="1080"/>
        </w:tabs>
        <w:ind w:left="720" w:hanging="720"/>
        <w:jc w:val="both"/>
        <w:rPr>
          <w:rFonts w:cs="Arial"/>
          <w:color w:val="000000"/>
        </w:rPr>
      </w:pPr>
      <w:r>
        <w:rPr>
          <w:rFonts w:cs="Arial"/>
          <w:color w:val="000000"/>
        </w:rPr>
        <w:tab/>
        <w:t>A.</w:t>
      </w:r>
      <w:r>
        <w:rPr>
          <w:rFonts w:cs="Arial"/>
          <w:color w:val="000000"/>
        </w:rPr>
        <w:tab/>
      </w:r>
      <w:r w:rsidRPr="00D339ED">
        <w:rPr>
          <w:rFonts w:cs="Arial"/>
          <w:color w:val="000000"/>
          <w:u w:val="single"/>
        </w:rPr>
        <w:t>Replacement Reserve</w:t>
      </w:r>
      <w:r>
        <w:rPr>
          <w:rFonts w:cs="Arial"/>
          <w:color w:val="000000"/>
        </w:rPr>
        <w:t xml:space="preserve"> - An initial deposit of $700 per unit will be required to establish the replacement reserve account at construction completion.  Annual deposits of</w:t>
      </w:r>
      <w:r w:rsidRPr="00BF3291">
        <w:rPr>
          <w:rFonts w:cs="Arial"/>
          <w:color w:val="000000"/>
        </w:rPr>
        <w:t xml:space="preserve"> $3</w:t>
      </w:r>
      <w:r>
        <w:rPr>
          <w:rFonts w:cs="Arial"/>
          <w:color w:val="000000"/>
        </w:rPr>
        <w:t>50</w:t>
      </w:r>
      <w:r w:rsidRPr="00BF3291">
        <w:rPr>
          <w:rFonts w:cs="Arial"/>
          <w:color w:val="000000"/>
        </w:rPr>
        <w:t xml:space="preserve"> per unit </w:t>
      </w:r>
      <w:r>
        <w:rPr>
          <w:rFonts w:cs="Arial"/>
          <w:color w:val="000000"/>
        </w:rPr>
        <w:t xml:space="preserve">will be required </w:t>
      </w:r>
      <w:r w:rsidRPr="00BF3291">
        <w:rPr>
          <w:rFonts w:cs="Arial"/>
          <w:color w:val="000000"/>
        </w:rPr>
        <w:t>through</w:t>
      </w:r>
      <w:r>
        <w:rPr>
          <w:rFonts w:cs="Arial"/>
          <w:color w:val="000000"/>
        </w:rPr>
        <w:t>out</w:t>
      </w:r>
      <w:r w:rsidRPr="00BF3291">
        <w:rPr>
          <w:rFonts w:cs="Arial"/>
          <w:color w:val="000000"/>
        </w:rPr>
        <w:t xml:space="preserve"> the HOME compliance period. The </w:t>
      </w:r>
      <w:r>
        <w:rPr>
          <w:rFonts w:cs="Arial"/>
          <w:color w:val="000000"/>
        </w:rPr>
        <w:t xml:space="preserve">reserve shall only </w:t>
      </w:r>
      <w:r w:rsidRPr="00BF3291">
        <w:rPr>
          <w:rFonts w:cs="Arial"/>
          <w:color w:val="000000"/>
        </w:rPr>
        <w:t xml:space="preserve">be used to cover </w:t>
      </w:r>
      <w:r>
        <w:rPr>
          <w:rFonts w:cs="Arial"/>
          <w:color w:val="000000"/>
        </w:rPr>
        <w:t>capital expenditures and are subject to IFA consent for withdrawals exceeding levels established in the contract.  E</w:t>
      </w:r>
      <w:r w:rsidRPr="00BF3291">
        <w:rPr>
          <w:rFonts w:cs="Arial"/>
          <w:color w:val="000000"/>
        </w:rPr>
        <w:t xml:space="preserve">vidence of the </w:t>
      </w:r>
      <w:r>
        <w:rPr>
          <w:rFonts w:cs="Arial"/>
          <w:color w:val="000000"/>
        </w:rPr>
        <w:t>replacement reserve account transactions and balance</w:t>
      </w:r>
      <w:r w:rsidRPr="00BF3291">
        <w:rPr>
          <w:rFonts w:cs="Arial"/>
          <w:color w:val="000000"/>
        </w:rPr>
        <w:t xml:space="preserve"> must be provided to IFA annually throughout the compliance period.</w:t>
      </w:r>
    </w:p>
    <w:p w14:paraId="444FAB06" w14:textId="77777777" w:rsidR="00182802" w:rsidRDefault="00182802" w:rsidP="00182802">
      <w:pPr>
        <w:tabs>
          <w:tab w:val="left" w:pos="360"/>
          <w:tab w:val="left" w:pos="720"/>
          <w:tab w:val="left" w:pos="1080"/>
        </w:tabs>
        <w:ind w:left="360" w:hanging="360"/>
        <w:jc w:val="both"/>
        <w:rPr>
          <w:rFonts w:cs="Arial"/>
          <w:color w:val="000000"/>
        </w:rPr>
      </w:pPr>
    </w:p>
    <w:p w14:paraId="3F60DFEB" w14:textId="77777777" w:rsidR="00182802" w:rsidRDefault="00182802" w:rsidP="00182802">
      <w:pPr>
        <w:tabs>
          <w:tab w:val="left" w:pos="360"/>
          <w:tab w:val="left" w:pos="720"/>
          <w:tab w:val="left" w:pos="1080"/>
        </w:tabs>
        <w:ind w:left="720" w:hanging="720"/>
        <w:jc w:val="both"/>
        <w:rPr>
          <w:rFonts w:cs="Arial"/>
          <w:color w:val="000000"/>
        </w:rPr>
      </w:pPr>
      <w:r>
        <w:rPr>
          <w:rFonts w:cs="Arial"/>
          <w:color w:val="000000"/>
        </w:rPr>
        <w:tab/>
        <w:t>B.</w:t>
      </w:r>
      <w:r>
        <w:rPr>
          <w:rFonts w:cs="Arial"/>
          <w:color w:val="000000"/>
        </w:rPr>
        <w:tab/>
      </w:r>
      <w:r>
        <w:rPr>
          <w:rFonts w:cs="Arial"/>
          <w:color w:val="000000"/>
          <w:u w:val="single"/>
        </w:rPr>
        <w:t>Operating</w:t>
      </w:r>
      <w:r w:rsidRPr="00D339ED">
        <w:rPr>
          <w:rFonts w:cs="Arial"/>
          <w:color w:val="000000"/>
          <w:u w:val="single"/>
        </w:rPr>
        <w:t xml:space="preserve"> Reserve</w:t>
      </w:r>
      <w:r>
        <w:rPr>
          <w:rFonts w:cs="Arial"/>
          <w:color w:val="000000"/>
        </w:rPr>
        <w:t xml:space="preserve"> - T</w:t>
      </w:r>
      <w:r w:rsidRPr="00BF3291">
        <w:rPr>
          <w:rFonts w:cs="Arial"/>
          <w:color w:val="000000"/>
        </w:rPr>
        <w:t>he project must establish a</w:t>
      </w:r>
      <w:r>
        <w:rPr>
          <w:rFonts w:cs="Arial"/>
          <w:color w:val="000000"/>
        </w:rPr>
        <w:t>n operating</w:t>
      </w:r>
      <w:r w:rsidRPr="00BF3291">
        <w:rPr>
          <w:rFonts w:cs="Arial"/>
          <w:color w:val="000000"/>
        </w:rPr>
        <w:t xml:space="preserve"> reserve </w:t>
      </w:r>
      <w:r>
        <w:rPr>
          <w:rFonts w:cs="Arial"/>
          <w:color w:val="000000"/>
        </w:rPr>
        <w:t>account within one year of construction completion</w:t>
      </w:r>
      <w:r w:rsidRPr="00BF3291">
        <w:rPr>
          <w:rFonts w:cs="Arial"/>
          <w:color w:val="000000"/>
        </w:rPr>
        <w:t xml:space="preserve">.  </w:t>
      </w:r>
      <w:r>
        <w:rPr>
          <w:rFonts w:cs="Arial"/>
          <w:color w:val="000000"/>
        </w:rPr>
        <w:t>The initial operating reserve is an eligible HOME project cost and may be established with HOME funding.</w:t>
      </w:r>
      <w:r w:rsidRPr="00BF3291">
        <w:rPr>
          <w:rFonts w:cs="Arial"/>
          <w:color w:val="000000"/>
        </w:rPr>
        <w:t xml:space="preserve">  The calculation for the minimum </w:t>
      </w:r>
      <w:r>
        <w:rPr>
          <w:rFonts w:cs="Arial"/>
          <w:color w:val="000000"/>
        </w:rPr>
        <w:t>operating</w:t>
      </w:r>
      <w:r w:rsidRPr="00BF3291">
        <w:rPr>
          <w:rFonts w:cs="Arial"/>
          <w:color w:val="000000"/>
        </w:rPr>
        <w:t xml:space="preserve"> reserve is:</w:t>
      </w:r>
    </w:p>
    <w:p w14:paraId="027B12F1" w14:textId="77777777" w:rsidR="00182802" w:rsidRDefault="00182802" w:rsidP="00182802">
      <w:pPr>
        <w:tabs>
          <w:tab w:val="left" w:pos="720"/>
          <w:tab w:val="left" w:pos="1440"/>
          <w:tab w:val="left" w:pos="2160"/>
          <w:tab w:val="left" w:pos="2880"/>
        </w:tabs>
        <w:ind w:left="720" w:hanging="720"/>
        <w:jc w:val="both"/>
        <w:rPr>
          <w:rFonts w:cs="Arial"/>
          <w:color w:val="000000"/>
        </w:rPr>
      </w:pPr>
    </w:p>
    <w:p w14:paraId="46924F7D" w14:textId="77777777" w:rsidR="00182802" w:rsidRDefault="00182802" w:rsidP="00182802">
      <w:pPr>
        <w:tabs>
          <w:tab w:val="left" w:pos="720"/>
          <w:tab w:val="left" w:pos="1440"/>
          <w:tab w:val="left" w:pos="2160"/>
          <w:tab w:val="left" w:pos="2880"/>
        </w:tabs>
        <w:ind w:left="720" w:hanging="720"/>
        <w:jc w:val="both"/>
        <w:rPr>
          <w:rFonts w:cs="Arial"/>
          <w:color w:val="000000"/>
        </w:rPr>
      </w:pPr>
      <w:r>
        <w:rPr>
          <w:rFonts w:cs="Arial"/>
          <w:color w:val="000000"/>
        </w:rPr>
        <w:tab/>
      </w:r>
      <w:r>
        <w:rPr>
          <w:rFonts w:cs="Arial"/>
          <w:color w:val="000000"/>
        </w:rPr>
        <w:tab/>
      </w:r>
      <w:r w:rsidRPr="00BF3291">
        <w:rPr>
          <w:rFonts w:cs="Arial"/>
          <w:color w:val="000000"/>
        </w:rPr>
        <w:t xml:space="preserve">Gross monthly rent amount for all </w:t>
      </w:r>
      <w:proofErr w:type="gramStart"/>
      <w:r w:rsidRPr="00BF3291">
        <w:rPr>
          <w:rFonts w:cs="Arial"/>
          <w:color w:val="000000"/>
        </w:rPr>
        <w:t>units</w:t>
      </w:r>
      <w:proofErr w:type="gramEnd"/>
      <w:r w:rsidRPr="00BF3291">
        <w:rPr>
          <w:rFonts w:cs="Arial"/>
          <w:color w:val="000000"/>
        </w:rPr>
        <w:t xml:space="preserve"> x 3 months</w:t>
      </w:r>
    </w:p>
    <w:p w14:paraId="76004121" w14:textId="77777777" w:rsidR="00182802" w:rsidRDefault="00182802" w:rsidP="00182802">
      <w:pPr>
        <w:tabs>
          <w:tab w:val="left" w:pos="720"/>
          <w:tab w:val="left" w:pos="1440"/>
          <w:tab w:val="left" w:pos="2160"/>
          <w:tab w:val="left" w:pos="2880"/>
        </w:tabs>
        <w:ind w:left="720" w:hanging="720"/>
        <w:jc w:val="both"/>
        <w:rPr>
          <w:rFonts w:cs="Arial"/>
          <w:color w:val="000000"/>
        </w:rPr>
      </w:pPr>
    </w:p>
    <w:p w14:paraId="02CF9437" w14:textId="77777777" w:rsidR="00182802" w:rsidRDefault="00182802" w:rsidP="00182802">
      <w:pPr>
        <w:tabs>
          <w:tab w:val="left" w:pos="720"/>
          <w:tab w:val="left" w:pos="1440"/>
          <w:tab w:val="left" w:pos="2160"/>
          <w:tab w:val="left" w:pos="2880"/>
        </w:tabs>
        <w:ind w:left="720" w:hanging="720"/>
        <w:jc w:val="both"/>
        <w:rPr>
          <w:rFonts w:cs="Arial"/>
          <w:color w:val="000000"/>
        </w:rPr>
      </w:pPr>
      <w:r>
        <w:rPr>
          <w:rFonts w:cs="Arial"/>
          <w:color w:val="000000"/>
        </w:rPr>
        <w:lastRenderedPageBreak/>
        <w:tab/>
        <w:t>The reserve shall only be used to cover operating deficits with prior written consent from IFA.  The operating reserve requirement may be met by provision of an irrevocable line of credit.  E</w:t>
      </w:r>
      <w:r w:rsidRPr="00BF3291">
        <w:rPr>
          <w:rFonts w:cs="Arial"/>
          <w:color w:val="000000"/>
        </w:rPr>
        <w:t xml:space="preserve">vidence of the </w:t>
      </w:r>
      <w:r>
        <w:rPr>
          <w:rFonts w:cs="Arial"/>
          <w:color w:val="000000"/>
        </w:rPr>
        <w:t>operating reserve account transactions and balance</w:t>
      </w:r>
      <w:r w:rsidRPr="00BF3291">
        <w:rPr>
          <w:rFonts w:cs="Arial"/>
          <w:color w:val="000000"/>
        </w:rPr>
        <w:t xml:space="preserve"> </w:t>
      </w:r>
      <w:r>
        <w:rPr>
          <w:rFonts w:cs="Arial"/>
          <w:color w:val="000000"/>
        </w:rPr>
        <w:t xml:space="preserve">or proof of the ongoing line of credit </w:t>
      </w:r>
      <w:r w:rsidRPr="00BF3291">
        <w:rPr>
          <w:rFonts w:cs="Arial"/>
          <w:color w:val="000000"/>
        </w:rPr>
        <w:t>must be provided to IFA annually throughout the compliance period.</w:t>
      </w:r>
    </w:p>
    <w:p w14:paraId="7075B3F4" w14:textId="77777777" w:rsidR="00182802" w:rsidRDefault="00182802" w:rsidP="00182802">
      <w:pPr>
        <w:tabs>
          <w:tab w:val="left" w:pos="360"/>
          <w:tab w:val="left" w:pos="720"/>
          <w:tab w:val="left" w:pos="1080"/>
          <w:tab w:val="left" w:pos="1440"/>
          <w:tab w:val="left" w:pos="2160"/>
          <w:tab w:val="left" w:pos="2880"/>
        </w:tabs>
        <w:jc w:val="both"/>
        <w:rPr>
          <w:rFonts w:cs="Arial"/>
          <w:color w:val="000000"/>
        </w:rPr>
      </w:pPr>
    </w:p>
    <w:p w14:paraId="6E859DC3" w14:textId="77777777" w:rsidR="00182802" w:rsidRDefault="00182802" w:rsidP="00182802">
      <w:pPr>
        <w:tabs>
          <w:tab w:val="left" w:pos="360"/>
          <w:tab w:val="left" w:pos="720"/>
          <w:tab w:val="left" w:pos="1080"/>
          <w:tab w:val="left" w:pos="1440"/>
          <w:tab w:val="left" w:pos="2160"/>
          <w:tab w:val="left" w:pos="2880"/>
        </w:tabs>
        <w:jc w:val="both"/>
        <w:rPr>
          <w:rFonts w:cs="Arial"/>
          <w:color w:val="000000"/>
        </w:rPr>
      </w:pPr>
      <w:r>
        <w:rPr>
          <w:rFonts w:cs="Arial"/>
          <w:color w:val="000000"/>
        </w:rPr>
        <w:t>5.</w:t>
      </w:r>
      <w:r>
        <w:rPr>
          <w:rFonts w:cs="Arial"/>
          <w:color w:val="000000"/>
        </w:rPr>
        <w:tab/>
      </w:r>
      <w:r w:rsidRPr="003A0368">
        <w:rPr>
          <w:rFonts w:cs="Arial"/>
          <w:color w:val="000000"/>
          <w:u w:val="single"/>
        </w:rPr>
        <w:t>Financing Commitment</w:t>
      </w:r>
    </w:p>
    <w:p w14:paraId="17023801" w14:textId="77777777" w:rsidR="00182802" w:rsidRDefault="00182802" w:rsidP="00182802">
      <w:pPr>
        <w:tabs>
          <w:tab w:val="left" w:pos="360"/>
          <w:tab w:val="left" w:pos="720"/>
          <w:tab w:val="left" w:pos="900"/>
          <w:tab w:val="left" w:pos="1080"/>
          <w:tab w:val="left" w:pos="1440"/>
          <w:tab w:val="left" w:pos="2160"/>
          <w:tab w:val="left" w:pos="2880"/>
        </w:tabs>
        <w:jc w:val="both"/>
        <w:rPr>
          <w:rFonts w:cs="Arial"/>
          <w:color w:val="000000"/>
        </w:rPr>
      </w:pPr>
    </w:p>
    <w:p w14:paraId="4B2B4312" w14:textId="77777777" w:rsidR="00182802" w:rsidRDefault="00182802" w:rsidP="00182802">
      <w:pPr>
        <w:tabs>
          <w:tab w:val="left" w:pos="360"/>
          <w:tab w:val="left" w:pos="720"/>
          <w:tab w:val="left" w:pos="1080"/>
          <w:tab w:val="left" w:pos="1440"/>
          <w:tab w:val="left" w:pos="2160"/>
          <w:tab w:val="left" w:pos="2880"/>
        </w:tabs>
        <w:ind w:left="720" w:hanging="720"/>
        <w:jc w:val="both"/>
        <w:rPr>
          <w:rFonts w:cs="Arial"/>
          <w:color w:val="000000"/>
        </w:rPr>
      </w:pPr>
      <w:r>
        <w:rPr>
          <w:rFonts w:cs="Arial"/>
          <w:color w:val="000000"/>
        </w:rPr>
        <w:tab/>
        <w:t>A.</w:t>
      </w:r>
      <w:r>
        <w:rPr>
          <w:rFonts w:cs="Arial"/>
          <w:color w:val="000000"/>
        </w:rPr>
        <w:tab/>
      </w:r>
      <w:r w:rsidRPr="00BF3291">
        <w:rPr>
          <w:rFonts w:cs="Arial"/>
          <w:color w:val="000000"/>
        </w:rPr>
        <w:t xml:space="preserve">For all </w:t>
      </w:r>
      <w:r>
        <w:rPr>
          <w:rFonts w:cs="Arial"/>
          <w:color w:val="000000"/>
        </w:rPr>
        <w:t>p</w:t>
      </w:r>
      <w:r w:rsidRPr="00BF3291">
        <w:rPr>
          <w:rFonts w:cs="Arial"/>
          <w:color w:val="000000"/>
        </w:rPr>
        <w:t>rojects proposing private construction and permanent financing, a letter of intent from the lending institution on their letterhead is required.  This letter must clearly state the term of the permanent loan, how the interest rate will be indexed and the current rate at the time of the letter, the amortization period, fees, any prepayment penalties, anticipated security interest in the Property and lien position.  The letter of intent must extend at least 6 months beyond the Application date due at IFA.</w:t>
      </w:r>
    </w:p>
    <w:p w14:paraId="55B8F908" w14:textId="77777777" w:rsidR="00182802" w:rsidRDefault="00182802" w:rsidP="00182802">
      <w:pPr>
        <w:tabs>
          <w:tab w:val="left" w:pos="360"/>
          <w:tab w:val="left" w:pos="720"/>
          <w:tab w:val="left" w:pos="900"/>
          <w:tab w:val="left" w:pos="1080"/>
          <w:tab w:val="left" w:pos="1440"/>
          <w:tab w:val="left" w:pos="2160"/>
          <w:tab w:val="left" w:pos="2880"/>
        </w:tabs>
        <w:ind w:left="360" w:hanging="360"/>
        <w:jc w:val="both"/>
        <w:rPr>
          <w:rFonts w:cs="Arial"/>
          <w:color w:val="000000"/>
        </w:rPr>
      </w:pPr>
    </w:p>
    <w:p w14:paraId="34368C89"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ab/>
        <w:t>B.</w:t>
      </w:r>
      <w:r>
        <w:rPr>
          <w:rFonts w:cs="Arial"/>
          <w:color w:val="000000"/>
        </w:rPr>
        <w:tab/>
        <w:t>F</w:t>
      </w:r>
      <w:r w:rsidRPr="00BF3291">
        <w:rPr>
          <w:rFonts w:cs="Arial"/>
          <w:color w:val="000000"/>
        </w:rPr>
        <w:t>or all other sources, except state HOME funds, a commitment for funding must be made in advance.  Documentation that specifies the value of the commitment, the purpose the funds can be used for, and time limitations related to the commitment must be provided from the entity making the commitment.</w:t>
      </w:r>
    </w:p>
    <w:p w14:paraId="2BBA3B70"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2286FF19"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6.</w:t>
      </w:r>
      <w:r>
        <w:rPr>
          <w:rFonts w:cs="Arial"/>
          <w:color w:val="000000"/>
        </w:rPr>
        <w:tab/>
      </w:r>
      <w:r w:rsidRPr="000854D1">
        <w:rPr>
          <w:rFonts w:cs="Arial"/>
          <w:color w:val="000000"/>
          <w:u w:val="single"/>
        </w:rPr>
        <w:t>Limitations</w:t>
      </w:r>
    </w:p>
    <w:p w14:paraId="2FF51988"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68E139C4"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ab/>
        <w:t>A.</w:t>
      </w:r>
      <w:r>
        <w:rPr>
          <w:rFonts w:cs="Arial"/>
          <w:color w:val="000000"/>
        </w:rPr>
        <w:tab/>
      </w:r>
      <w:r w:rsidRPr="00F11938">
        <w:rPr>
          <w:rFonts w:cs="Arial"/>
          <w:color w:val="000000"/>
          <w:u w:val="single"/>
        </w:rPr>
        <w:t>Developer Fees</w:t>
      </w:r>
      <w:r>
        <w:rPr>
          <w:rFonts w:cs="Arial"/>
          <w:color w:val="000000"/>
        </w:rPr>
        <w:t xml:space="preserve"> - Dev</w:t>
      </w:r>
      <w:r w:rsidRPr="00BF3291">
        <w:rPr>
          <w:rFonts w:cs="Arial"/>
          <w:color w:val="000000"/>
        </w:rPr>
        <w:t xml:space="preserve">eloper fees (including overhead and profit and </w:t>
      </w:r>
      <w:r>
        <w:rPr>
          <w:rFonts w:cs="Arial"/>
          <w:color w:val="000000"/>
        </w:rPr>
        <w:t>c</w:t>
      </w:r>
      <w:r w:rsidRPr="00BF3291">
        <w:rPr>
          <w:rFonts w:cs="Arial"/>
          <w:color w:val="000000"/>
        </w:rPr>
        <w:t xml:space="preserve">onsultant </w:t>
      </w:r>
      <w:r>
        <w:rPr>
          <w:rFonts w:cs="Arial"/>
          <w:color w:val="000000"/>
        </w:rPr>
        <w:t>f</w:t>
      </w:r>
      <w:r w:rsidRPr="00BF3291">
        <w:rPr>
          <w:rFonts w:cs="Arial"/>
          <w:color w:val="000000"/>
        </w:rPr>
        <w:t>ees) shall not exceed 1</w:t>
      </w:r>
      <w:r>
        <w:rPr>
          <w:rFonts w:cs="Arial"/>
          <w:color w:val="000000"/>
        </w:rPr>
        <w:t>5% of Site Work, Construction and Soft Costs items on the Budget page</w:t>
      </w:r>
      <w:r w:rsidRPr="00BF3291">
        <w:rPr>
          <w:rFonts w:cs="Arial"/>
          <w:color w:val="000000"/>
        </w:rPr>
        <w:t>.</w:t>
      </w:r>
    </w:p>
    <w:p w14:paraId="2371F95C"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6677FA23"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ab/>
        <w:t>B.</w:t>
      </w:r>
      <w:r>
        <w:rPr>
          <w:rFonts w:cs="Arial"/>
          <w:color w:val="000000"/>
        </w:rPr>
        <w:tab/>
      </w:r>
      <w:r w:rsidRPr="00F11938">
        <w:rPr>
          <w:rFonts w:cs="Arial"/>
          <w:color w:val="000000"/>
          <w:u w:val="single"/>
        </w:rPr>
        <w:t>Construction Contingency Funding</w:t>
      </w:r>
      <w:r>
        <w:rPr>
          <w:rFonts w:cs="Arial"/>
          <w:color w:val="000000"/>
        </w:rPr>
        <w:t xml:space="preserve"> - All projects shall have a hard cost construction contingency line item of at least five percent (5%) but no more than ten percent (10%) of Site Work and Construction items on the Budget page.</w:t>
      </w:r>
    </w:p>
    <w:p w14:paraId="23C40801"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3273C86F"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ab/>
        <w:t>C.</w:t>
      </w:r>
      <w:r>
        <w:rPr>
          <w:rFonts w:cs="Arial"/>
          <w:color w:val="000000"/>
        </w:rPr>
        <w:tab/>
      </w:r>
      <w:r w:rsidRPr="009E2D14">
        <w:rPr>
          <w:rFonts w:cs="Arial"/>
          <w:color w:val="000000"/>
          <w:u w:val="single"/>
        </w:rPr>
        <w:t>Subsidy Layering Review</w:t>
      </w:r>
      <w:r>
        <w:rPr>
          <w:rFonts w:cs="Arial"/>
          <w:color w:val="000000"/>
        </w:rPr>
        <w:t xml:space="preserve"> - H</w:t>
      </w:r>
      <w:r w:rsidRPr="00BF3291">
        <w:rPr>
          <w:rFonts w:cs="Arial"/>
          <w:color w:val="000000"/>
        </w:rPr>
        <w:t xml:space="preserve">UD is required to undertake subsidy layering reviews of each </w:t>
      </w:r>
      <w:r>
        <w:rPr>
          <w:rFonts w:cs="Arial"/>
          <w:color w:val="000000"/>
        </w:rPr>
        <w:t>p</w:t>
      </w:r>
      <w:r w:rsidRPr="00BF3291">
        <w:rPr>
          <w:rFonts w:cs="Arial"/>
          <w:color w:val="000000"/>
        </w:rPr>
        <w:t xml:space="preserve">roject receiving HUD housing assistance to ensure that the </w:t>
      </w:r>
      <w:r>
        <w:rPr>
          <w:rFonts w:cs="Arial"/>
          <w:color w:val="000000"/>
        </w:rPr>
        <w:t>a</w:t>
      </w:r>
      <w:r w:rsidRPr="00BF3291">
        <w:rPr>
          <w:rFonts w:cs="Arial"/>
          <w:color w:val="000000"/>
        </w:rPr>
        <w:t xml:space="preserve">pplicant does not receive excessive government subsidies by combining HUD housing assistance with other forms of federal, </w:t>
      </w:r>
      <w:proofErr w:type="gramStart"/>
      <w:r w:rsidRPr="00BF3291">
        <w:rPr>
          <w:rFonts w:cs="Arial"/>
          <w:color w:val="000000"/>
        </w:rPr>
        <w:t>State</w:t>
      </w:r>
      <w:proofErr w:type="gramEnd"/>
      <w:r w:rsidRPr="00BF3291">
        <w:rPr>
          <w:rFonts w:cs="Arial"/>
          <w:color w:val="000000"/>
        </w:rPr>
        <w:t xml:space="preserve"> or local assistance. </w:t>
      </w:r>
    </w:p>
    <w:p w14:paraId="1EDD1B66"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2370E010" w14:textId="77777777" w:rsidR="00182802" w:rsidRPr="007969F9" w:rsidRDefault="00182802" w:rsidP="00182802">
      <w:pPr>
        <w:tabs>
          <w:tab w:val="left" w:pos="360"/>
          <w:tab w:val="left" w:pos="720"/>
          <w:tab w:val="left" w:pos="900"/>
          <w:tab w:val="left" w:pos="1080"/>
          <w:tab w:val="left" w:pos="1440"/>
          <w:tab w:val="left" w:pos="2160"/>
          <w:tab w:val="left" w:pos="2880"/>
        </w:tabs>
        <w:ind w:left="720" w:hanging="720"/>
        <w:jc w:val="both"/>
        <w:rPr>
          <w:rFonts w:cs="Arial"/>
          <w:b/>
          <w:color w:val="FF0000"/>
        </w:rPr>
      </w:pPr>
      <w:r>
        <w:rPr>
          <w:rFonts w:cs="Arial"/>
          <w:color w:val="000000"/>
        </w:rPr>
        <w:tab/>
        <w:t>D.</w:t>
      </w:r>
      <w:r>
        <w:rPr>
          <w:rFonts w:cs="Arial"/>
          <w:color w:val="000000"/>
        </w:rPr>
        <w:tab/>
      </w:r>
      <w:r w:rsidRPr="008A6FCD">
        <w:rPr>
          <w:rFonts w:cs="Arial"/>
          <w:color w:val="000000"/>
          <w:u w:val="single"/>
        </w:rPr>
        <w:t>Unit Cost Cap</w:t>
      </w:r>
      <w:r>
        <w:rPr>
          <w:rFonts w:cs="Arial"/>
          <w:color w:val="000000"/>
        </w:rPr>
        <w:t xml:space="preserve"> - IFA</w:t>
      </w:r>
      <w:r w:rsidRPr="00BF3291">
        <w:rPr>
          <w:rFonts w:cs="Arial"/>
        </w:rPr>
        <w:t xml:space="preserve"> shall not award HOME funds to a </w:t>
      </w:r>
      <w:r>
        <w:rPr>
          <w:rFonts w:cs="Arial"/>
        </w:rPr>
        <w:t>p</w:t>
      </w:r>
      <w:r w:rsidRPr="00BF3291">
        <w:rPr>
          <w:rFonts w:cs="Arial"/>
        </w:rPr>
        <w:t>roject where the total project costs exceed the</w:t>
      </w:r>
      <w:r>
        <w:rPr>
          <w:rFonts w:cs="Arial"/>
        </w:rPr>
        <w:t xml:space="preserve"> per unit dollar limitations established annually by HUD.</w:t>
      </w:r>
    </w:p>
    <w:p w14:paraId="3C508EA5" w14:textId="77777777" w:rsidR="00182802" w:rsidRDefault="00182802" w:rsidP="00182802">
      <w:pPr>
        <w:jc w:val="both"/>
        <w:rPr>
          <w:rFonts w:cs="Arial"/>
          <w:color w:val="000000"/>
        </w:rPr>
      </w:pPr>
    </w:p>
    <w:p w14:paraId="797D18B2" w14:textId="77777777" w:rsidR="00182802" w:rsidRDefault="00182802" w:rsidP="00182802">
      <w:pPr>
        <w:jc w:val="both"/>
        <w:rPr>
          <w:rFonts w:cs="Arial"/>
          <w:color w:val="000000"/>
        </w:rPr>
      </w:pPr>
      <w:r w:rsidRPr="00D2359B">
        <w:rPr>
          <w:rFonts w:cs="Arial"/>
          <w:color w:val="000000"/>
        </w:rPr>
        <w:t xml:space="preserve">The following financial underwriting standards will be </w:t>
      </w:r>
      <w:proofErr w:type="gramStart"/>
      <w:r w:rsidRPr="00D2359B">
        <w:rPr>
          <w:rFonts w:cs="Arial"/>
          <w:color w:val="000000"/>
        </w:rPr>
        <w:t>taken into account</w:t>
      </w:r>
      <w:proofErr w:type="gramEnd"/>
      <w:r w:rsidRPr="00D2359B">
        <w:rPr>
          <w:rFonts w:cs="Arial"/>
          <w:color w:val="000000"/>
        </w:rPr>
        <w:t xml:space="preserve"> by IFA when determining the financial feasibility of the proposed project.</w:t>
      </w:r>
    </w:p>
    <w:p w14:paraId="4F294CD0" w14:textId="77777777" w:rsidR="00182802" w:rsidRDefault="00182802" w:rsidP="00182802">
      <w:pPr>
        <w:jc w:val="both"/>
        <w:rPr>
          <w:rFonts w:cs="Arial"/>
          <w:color w:val="000000"/>
        </w:rPr>
      </w:pPr>
    </w:p>
    <w:p w14:paraId="7E74B3FB" w14:textId="77777777" w:rsidR="00182802" w:rsidRDefault="00182802" w:rsidP="00182802">
      <w:pPr>
        <w:tabs>
          <w:tab w:val="left" w:pos="360"/>
        </w:tabs>
        <w:ind w:left="360" w:hanging="360"/>
        <w:jc w:val="both"/>
        <w:rPr>
          <w:rFonts w:cs="Arial"/>
          <w:color w:val="000000"/>
        </w:rPr>
      </w:pPr>
      <w:r>
        <w:rPr>
          <w:rFonts w:cs="Arial"/>
          <w:color w:val="000000"/>
        </w:rPr>
        <w:t>1.</w:t>
      </w:r>
      <w:r>
        <w:rPr>
          <w:rFonts w:cs="Arial"/>
          <w:color w:val="000000"/>
        </w:rPr>
        <w:tab/>
      </w:r>
      <w:r w:rsidRPr="007B531F">
        <w:rPr>
          <w:rFonts w:cs="Arial"/>
          <w:color w:val="000000"/>
          <w:u w:val="single"/>
        </w:rPr>
        <w:t>Debt Service Coverage Ratio (DSCR)</w:t>
      </w:r>
      <w:r>
        <w:rPr>
          <w:rFonts w:cs="Arial"/>
          <w:color w:val="000000"/>
        </w:rPr>
        <w:t xml:space="preserve"> – A DSCR</w:t>
      </w:r>
      <w:r w:rsidRPr="00BF3291">
        <w:rPr>
          <w:rFonts w:cs="Arial"/>
          <w:color w:val="000000"/>
        </w:rPr>
        <w:t xml:space="preserve"> between 1.</w:t>
      </w:r>
      <w:r>
        <w:rPr>
          <w:rFonts w:cs="Arial"/>
          <w:color w:val="000000"/>
        </w:rPr>
        <w:t>15</w:t>
      </w:r>
      <w:r w:rsidRPr="00BF3291">
        <w:rPr>
          <w:rFonts w:cs="Arial"/>
          <w:color w:val="000000"/>
        </w:rPr>
        <w:t xml:space="preserve"> and </w:t>
      </w:r>
      <w:r>
        <w:rPr>
          <w:rFonts w:cs="Arial"/>
          <w:color w:val="000000"/>
        </w:rPr>
        <w:t>2.00</w:t>
      </w:r>
      <w:r w:rsidRPr="00BF3291">
        <w:rPr>
          <w:rFonts w:cs="Arial"/>
          <w:color w:val="000000"/>
        </w:rPr>
        <w:t xml:space="preserve"> for the entire HOME compliance period</w:t>
      </w:r>
      <w:r>
        <w:rPr>
          <w:rFonts w:cs="Arial"/>
          <w:color w:val="000000"/>
        </w:rPr>
        <w:t xml:space="preserve">. If the </w:t>
      </w:r>
      <w:r w:rsidRPr="00BF3291">
        <w:rPr>
          <w:rFonts w:cs="Arial"/>
          <w:color w:val="000000"/>
        </w:rPr>
        <w:t>DSCR exceed</w:t>
      </w:r>
      <w:r>
        <w:rPr>
          <w:rFonts w:cs="Arial"/>
          <w:color w:val="000000"/>
        </w:rPr>
        <w:t>s</w:t>
      </w:r>
      <w:r w:rsidRPr="00BF3291">
        <w:rPr>
          <w:rFonts w:cs="Arial"/>
          <w:color w:val="000000"/>
        </w:rPr>
        <w:t xml:space="preserve"> </w:t>
      </w:r>
      <w:r>
        <w:rPr>
          <w:rFonts w:cs="Arial"/>
          <w:color w:val="000000"/>
        </w:rPr>
        <w:t>2.00, the applicant must submit an explanation which IFA will take into consideration when reviewing the application.</w:t>
      </w:r>
    </w:p>
    <w:p w14:paraId="5E299E04" w14:textId="77777777" w:rsidR="00182802" w:rsidRDefault="00182802" w:rsidP="00182802">
      <w:pPr>
        <w:tabs>
          <w:tab w:val="left" w:pos="720"/>
          <w:tab w:val="left" w:pos="1440"/>
          <w:tab w:val="left" w:pos="2160"/>
          <w:tab w:val="left" w:pos="2880"/>
        </w:tabs>
        <w:ind w:left="720" w:hanging="720"/>
        <w:jc w:val="both"/>
        <w:rPr>
          <w:rFonts w:cs="Arial"/>
          <w:color w:val="000000"/>
        </w:rPr>
      </w:pPr>
      <w:r>
        <w:rPr>
          <w:rFonts w:cs="Arial"/>
          <w:color w:val="000000"/>
        </w:rPr>
        <w:tab/>
      </w:r>
    </w:p>
    <w:p w14:paraId="7D9FE6C7" w14:textId="77777777" w:rsidR="00182802" w:rsidRPr="00EB59A9" w:rsidRDefault="00182802" w:rsidP="00182802">
      <w:pPr>
        <w:tabs>
          <w:tab w:val="left" w:pos="1260"/>
        </w:tabs>
        <w:rPr>
          <w:rFonts w:cs="Arial"/>
        </w:rPr>
      </w:pPr>
      <w:r w:rsidRPr="0097225F">
        <w:rPr>
          <w:rFonts w:cs="Arial"/>
          <w:b/>
        </w:rPr>
        <w:t>NOTE:  For Rental without tax credit applications, zero percent loans are available with flexible payment terms</w:t>
      </w:r>
      <w:r>
        <w:rPr>
          <w:rFonts w:cs="Arial"/>
          <w:b/>
        </w:rPr>
        <w:t>.</w:t>
      </w:r>
    </w:p>
    <w:p w14:paraId="6EF8064C" w14:textId="77777777" w:rsidR="006559F3" w:rsidRPr="006559F3" w:rsidRDefault="006559F3" w:rsidP="006559F3">
      <w:pPr>
        <w:pStyle w:val="IFANormal"/>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D382" w14:textId="77777777" w:rsidR="003A350C" w:rsidRDefault="003A350C" w:rsidP="00222545">
      <w:r>
        <w:separator/>
      </w:r>
    </w:p>
  </w:endnote>
  <w:endnote w:type="continuationSeparator" w:id="0">
    <w:p w14:paraId="72458997" w14:textId="77777777" w:rsidR="003A350C" w:rsidRDefault="003A350C"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A0AB" w14:textId="0EE8A447" w:rsidR="00F605FC" w:rsidRPr="00F605FC" w:rsidRDefault="00F605FC" w:rsidP="00F605FC">
    <w:pPr>
      <w:rPr>
        <w:b/>
        <w:bCs/>
      </w:rPr>
    </w:pPr>
    <w:r w:rsidRPr="00F605FC">
      <w:rPr>
        <w:b/>
        <w:bCs/>
      </w:rPr>
      <w:t>202</w:t>
    </w:r>
    <w:r w:rsidR="00EE5B24">
      <w:rPr>
        <w:b/>
        <w:bCs/>
      </w:rPr>
      <w:t>4</w:t>
    </w:r>
    <w:r w:rsidRPr="00F605FC">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CC99" w14:textId="77777777" w:rsidR="003A350C" w:rsidRDefault="003A350C" w:rsidP="00222545">
      <w:r>
        <w:separator/>
      </w:r>
    </w:p>
  </w:footnote>
  <w:footnote w:type="continuationSeparator" w:id="0">
    <w:p w14:paraId="13EF980A" w14:textId="77777777" w:rsidR="003A350C" w:rsidRDefault="003A350C"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3"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2116828623">
    <w:abstractNumId w:val="0"/>
  </w:num>
  <w:num w:numId="2" w16cid:durableId="1536894056">
    <w:abstractNumId w:val="5"/>
  </w:num>
  <w:num w:numId="3" w16cid:durableId="720523340">
    <w:abstractNumId w:val="3"/>
  </w:num>
  <w:num w:numId="4" w16cid:durableId="183598154">
    <w:abstractNumId w:val="4"/>
  </w:num>
  <w:num w:numId="5" w16cid:durableId="1694302643">
    <w:abstractNumId w:val="2"/>
  </w:num>
  <w:num w:numId="6" w16cid:durableId="963578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222545"/>
    <w:rsid w:val="003A350C"/>
    <w:rsid w:val="006559F3"/>
    <w:rsid w:val="00672284"/>
    <w:rsid w:val="00717AEB"/>
    <w:rsid w:val="00742202"/>
    <w:rsid w:val="00744BD8"/>
    <w:rsid w:val="00750AE5"/>
    <w:rsid w:val="00776039"/>
    <w:rsid w:val="007C258F"/>
    <w:rsid w:val="00994692"/>
    <w:rsid w:val="009B341C"/>
    <w:rsid w:val="009D0009"/>
    <w:rsid w:val="00A81076"/>
    <w:rsid w:val="00C6634C"/>
    <w:rsid w:val="00CC1D75"/>
    <w:rsid w:val="00D00595"/>
    <w:rsid w:val="00D744DE"/>
    <w:rsid w:val="00DB0B0E"/>
    <w:rsid w:val="00E51221"/>
    <w:rsid w:val="00E67744"/>
    <w:rsid w:val="00EE5B24"/>
    <w:rsid w:val="00F605FC"/>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3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038C94-9661-4264-8F37-C24BEBFA45DD}">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DAB50D94-1810-43AF-BD30-3A90B10D1460}">
  <ds:schemaRefs>
    <ds:schemaRef ds:uri="http://schemas.microsoft.com/sharepoint/v3/contenttype/forms"/>
  </ds:schemaRefs>
</ds:datastoreItem>
</file>

<file path=customXml/itemProps3.xml><?xml version="1.0" encoding="utf-8"?>
<ds:datastoreItem xmlns:ds="http://schemas.openxmlformats.org/officeDocument/2006/customXml" ds:itemID="{80529B61-3111-4728-B743-4050F7F26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1</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2023-06-27T15:36:00Z</dcterms:created>
  <dcterms:modified xsi:type="dcterms:W3CDTF">2023-07-06T16:14:00Z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386200</vt:r8>
  </property>
  <property fmtid="{D5CDD505-2E9C-101B-9397-08002B2CF9AE}" pid="4" name="MediaServiceImageTags">
    <vt:lpwstr/>
  </property>
</Properties>
</file>